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801B" w14:textId="77777777" w:rsidR="003E71CA" w:rsidRPr="006C0387" w:rsidRDefault="003E71CA" w:rsidP="006C0387">
      <w:pPr>
        <w:tabs>
          <w:tab w:val="left" w:pos="26253"/>
        </w:tabs>
        <w:suppressAutoHyphens/>
        <w:jc w:val="center"/>
        <w:rPr>
          <w:rFonts w:ascii="Arial" w:hAnsi="Arial" w:cs="Arial"/>
          <w:sz w:val="28"/>
          <w:szCs w:val="28"/>
          <w:lang w:val="en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25"/>
        <w:gridCol w:w="740"/>
        <w:gridCol w:w="677"/>
        <w:gridCol w:w="6682"/>
      </w:tblGrid>
      <w:tr w:rsidR="00303611" w:rsidRPr="006C0387" w14:paraId="58BA2B0D" w14:textId="77777777" w:rsidTr="00402067">
        <w:trPr>
          <w:cantSplit/>
          <w:trHeight w:val="1172"/>
          <w:tblCellSpacing w:w="20" w:type="dxa"/>
        </w:trPr>
        <w:tc>
          <w:tcPr>
            <w:tcW w:w="8886" w:type="dxa"/>
            <w:gridSpan w:val="4"/>
            <w:shd w:val="clear" w:color="auto" w:fill="000080"/>
          </w:tcPr>
          <w:p w14:paraId="1BF67383" w14:textId="77777777" w:rsidR="00303611" w:rsidRPr="00303611" w:rsidRDefault="00303611" w:rsidP="00303611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303611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Lockout/Tagout (LOTO) Checklist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</w:p>
        </w:tc>
      </w:tr>
      <w:tr w:rsidR="00B7253A" w:rsidRPr="006C0387" w14:paraId="535EDD5A" w14:textId="77777777" w:rsidTr="00B7253A">
        <w:trPr>
          <w:cantSplit/>
          <w:tblCellSpacing w:w="20" w:type="dxa"/>
        </w:trPr>
        <w:tc>
          <w:tcPr>
            <w:tcW w:w="8886" w:type="dxa"/>
            <w:gridSpan w:val="4"/>
            <w:tcBorders>
              <w:top w:val="nil"/>
              <w:right w:val="outset" w:sz="6" w:space="0" w:color="ACA899"/>
            </w:tcBorders>
            <w:shd w:val="clear" w:color="auto" w:fill="F3F3F3"/>
          </w:tcPr>
          <w:p w14:paraId="79126FFB" w14:textId="77777777" w:rsidR="00B7253A" w:rsidRPr="00402067" w:rsidRDefault="00B7253A" w:rsidP="00B7253A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402067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Steps to Apply LOTO</w:t>
            </w:r>
          </w:p>
        </w:tc>
      </w:tr>
      <w:tr w:rsidR="003E71CA" w:rsidRPr="006C0387" w14:paraId="10FD1BED" w14:textId="77777777" w:rsidTr="00303611">
        <w:trPr>
          <w:cantSplit/>
          <w:tblCellSpacing w:w="20" w:type="dxa"/>
        </w:trPr>
        <w:tc>
          <w:tcPr>
            <w:tcW w:w="1218" w:type="dxa"/>
            <w:gridSpan w:val="2"/>
            <w:shd w:val="clear" w:color="auto" w:fill="F3F3F3"/>
          </w:tcPr>
          <w:p w14:paraId="795EB88F" w14:textId="77777777" w:rsidR="003E71CA" w:rsidRPr="00303611" w:rsidRDefault="003E71CA" w:rsidP="00303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611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7628" w:type="dxa"/>
            <w:gridSpan w:val="2"/>
            <w:shd w:val="clear" w:color="auto" w:fill="F3F3F3"/>
          </w:tcPr>
          <w:p w14:paraId="41DB313F" w14:textId="77777777" w:rsidR="003E71CA" w:rsidRPr="00303611" w:rsidRDefault="003E71CA" w:rsidP="00303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611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</w:tr>
      <w:tr w:rsidR="003E71CA" w:rsidRPr="00862F6A" w14:paraId="31A5EC57" w14:textId="77777777" w:rsidTr="0012428E">
        <w:trPr>
          <w:tblCellSpacing w:w="20" w:type="dxa"/>
        </w:trPr>
        <w:tc>
          <w:tcPr>
            <w:tcW w:w="466" w:type="dxa"/>
          </w:tcPr>
          <w:p w14:paraId="59250500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12" w:type="dxa"/>
          </w:tcPr>
          <w:p w14:paraId="7C3DA9C9" w14:textId="77777777" w:rsidR="003E71CA" w:rsidRPr="00862F6A" w:rsidRDefault="003E71CA" w:rsidP="003E71C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64A78D96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Prepare for shutdown</w:t>
            </w:r>
            <w:r>
              <w:rPr>
                <w:rFonts w:ascii="Arial" w:hAnsi="Arial" w:cs="Arial"/>
              </w:rPr>
              <w:t>.</w:t>
            </w:r>
          </w:p>
          <w:p w14:paraId="0AEFA037" w14:textId="77777777" w:rsidR="003E71CA" w:rsidRPr="00862F6A" w:rsidRDefault="003E71CA" w:rsidP="003E71CA">
            <w:pPr>
              <w:spacing w:before="120" w:after="120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eastAsia="Arial Unicode MS" w:hAnsi="Arial" w:cs="Arial"/>
              </w:rPr>
              <w:t xml:space="preserve"> </w:t>
            </w:r>
            <w:r w:rsidRPr="00862F6A">
              <w:rPr>
                <w:rFonts w:ascii="Arial" w:hAnsi="Arial" w:cs="Arial"/>
              </w:rPr>
              <w:t xml:space="preserve">Notify </w:t>
            </w:r>
            <w:hyperlink r:id="rId7" w:anchor="affected_worker" w:history="1">
              <w:r w:rsidRPr="00862F6A">
                <w:rPr>
                  <w:rStyle w:val="Hyperlink"/>
                  <w:rFonts w:ascii="Arial" w:hAnsi="Arial" w:cs="Arial"/>
                </w:rPr>
                <w:t>affected workers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5E226F6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eastAsia="Arial Unicode MS" w:hAnsi="Arial" w:cs="Arial"/>
              </w:rPr>
              <w:t xml:space="preserve"> </w:t>
            </w:r>
            <w:r w:rsidRPr="00862F6A">
              <w:rPr>
                <w:rFonts w:ascii="Arial" w:hAnsi="Arial" w:cs="Arial"/>
              </w:rPr>
              <w:t>Review procedures</w:t>
            </w:r>
            <w:r>
              <w:rPr>
                <w:rFonts w:ascii="Arial" w:hAnsi="Arial" w:cs="Arial"/>
              </w:rPr>
              <w:t>.</w:t>
            </w:r>
          </w:p>
          <w:p w14:paraId="6FFD820E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eastAsia="Arial Unicode MS" w:hAnsi="Arial" w:cs="Arial"/>
              </w:rPr>
              <w:t xml:space="preserve"> </w:t>
            </w:r>
            <w:r w:rsidRPr="00862F6A">
              <w:rPr>
                <w:rFonts w:ascii="Arial" w:hAnsi="Arial" w:cs="Arial"/>
              </w:rPr>
              <w:t>Identify all energy sources</w:t>
            </w:r>
            <w:r>
              <w:rPr>
                <w:rFonts w:ascii="Arial" w:hAnsi="Arial" w:cs="Arial"/>
              </w:rPr>
              <w:t>.</w:t>
            </w:r>
          </w:p>
          <w:p w14:paraId="6B73595B" w14:textId="77777777" w:rsidR="003E71CA" w:rsidRPr="00862F6A" w:rsidRDefault="003E71CA" w:rsidP="003E71CA">
            <w:pPr>
              <w:spacing w:before="120" w:after="120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eastAsia="Arial Unicode MS" w:hAnsi="Arial" w:cs="Arial"/>
              </w:rPr>
              <w:t xml:space="preserve"> </w:t>
            </w:r>
            <w:r w:rsidRPr="00862F6A">
              <w:rPr>
                <w:rFonts w:ascii="Arial" w:hAnsi="Arial" w:cs="Arial"/>
              </w:rPr>
              <w:t>Ensure all isolating devices will accept lockout/tagout devices</w:t>
            </w:r>
            <w:r>
              <w:rPr>
                <w:rFonts w:ascii="Arial" w:hAnsi="Arial" w:cs="Arial"/>
              </w:rPr>
              <w:t>.</w:t>
            </w:r>
          </w:p>
          <w:p w14:paraId="4337E514" w14:textId="77777777" w:rsidR="003E71CA" w:rsidRPr="00862F6A" w:rsidRDefault="003E71CA" w:rsidP="003E71CA">
            <w:pPr>
              <w:spacing w:before="120" w:after="120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eastAsia="Arial Unicode MS" w:hAnsi="Arial" w:cs="Arial"/>
              </w:rPr>
              <w:t xml:space="preserve"> </w:t>
            </w:r>
            <w:r w:rsidRPr="00862F6A">
              <w:rPr>
                <w:rFonts w:ascii="Arial" w:hAnsi="Arial" w:cs="Arial"/>
              </w:rPr>
              <w:t>Gather necessary tools, equipment</w:t>
            </w:r>
            <w:r>
              <w:rPr>
                <w:rFonts w:ascii="Arial" w:hAnsi="Arial" w:cs="Arial"/>
              </w:rPr>
              <w:t>.</w:t>
            </w:r>
          </w:p>
          <w:p w14:paraId="525C1531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  <w:r w:rsidRPr="00862F6A">
              <w:rPr>
                <w:rFonts w:ascii="Arial" w:hAnsi="Arial" w:cs="Arial"/>
              </w:rPr>
              <w:t xml:space="preserve"> Identify any supporting equipment or systems that must also be shutdown</w:t>
            </w:r>
            <w:r>
              <w:rPr>
                <w:rFonts w:ascii="Arial" w:hAnsi="Arial" w:cs="Arial"/>
              </w:rPr>
              <w:t>.</w:t>
            </w:r>
          </w:p>
        </w:tc>
      </w:tr>
      <w:tr w:rsidR="003E71CA" w:rsidRPr="00862F6A" w14:paraId="6B0C0BBD" w14:textId="77777777" w:rsidTr="0012428E">
        <w:trPr>
          <w:trHeight w:val="1108"/>
          <w:tblCellSpacing w:w="20" w:type="dxa"/>
        </w:trPr>
        <w:tc>
          <w:tcPr>
            <w:tcW w:w="466" w:type="dxa"/>
          </w:tcPr>
          <w:p w14:paraId="4568A2E4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12" w:type="dxa"/>
          </w:tcPr>
          <w:p w14:paraId="5A3DE423" w14:textId="77777777" w:rsidR="003E71CA" w:rsidRPr="00862F6A" w:rsidRDefault="003E71CA" w:rsidP="003E71C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1365EE5B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Shutdown equipment by normal methods</w:t>
            </w:r>
          </w:p>
          <w:p w14:paraId="4875D227" w14:textId="77777777" w:rsidR="003E71CA" w:rsidRPr="00862F6A" w:rsidRDefault="003E71CA" w:rsidP="003E71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Note:</w:t>
            </w:r>
            <w:r w:rsidRPr="00862F6A">
              <w:rPr>
                <w:rFonts w:ascii="Arial" w:hAnsi="Arial" w:cs="Arial"/>
              </w:rPr>
              <w:t xml:space="preserve"> Use an orderly shutdown to avoid additional hazards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6C0387" w:rsidRPr="00862F6A" w14:paraId="78B285D1" w14:textId="77777777" w:rsidTr="0012428E">
        <w:trPr>
          <w:trHeight w:val="865"/>
          <w:tblCellSpacing w:w="20" w:type="dxa"/>
        </w:trPr>
        <w:tc>
          <w:tcPr>
            <w:tcW w:w="466" w:type="dxa"/>
          </w:tcPr>
          <w:p w14:paraId="482B4F3D" w14:textId="77777777" w:rsidR="006C0387" w:rsidRPr="00862F6A" w:rsidRDefault="006C0387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12" w:type="dxa"/>
          </w:tcPr>
          <w:p w14:paraId="408BC17C" w14:textId="77777777" w:rsidR="006C0387" w:rsidRPr="00862F6A" w:rsidRDefault="006C0387" w:rsidP="00E60B5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4C8A8238" w14:textId="77777777" w:rsidR="006C0387" w:rsidRPr="00862F6A" w:rsidRDefault="006C0387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</w:rPr>
              <w:t>Isolate or block all energy sources for the equipment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0497" w:rsidRPr="00862F6A" w14:paraId="341F5319" w14:textId="77777777" w:rsidTr="00B7253A">
        <w:trPr>
          <w:trHeight w:val="892"/>
          <w:tblCellSpacing w:w="20" w:type="dxa"/>
        </w:trPr>
        <w:tc>
          <w:tcPr>
            <w:tcW w:w="466" w:type="dxa"/>
            <w:vMerge w:val="restart"/>
          </w:tcPr>
          <w:p w14:paraId="73C49D35" w14:textId="77777777" w:rsidR="004E0497" w:rsidRPr="00862F6A" w:rsidRDefault="004E0497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12" w:type="dxa"/>
            <w:tcBorders>
              <w:bottom w:val="outset" w:sz="6" w:space="0" w:color="auto"/>
            </w:tcBorders>
          </w:tcPr>
          <w:p w14:paraId="58CFE4E0" w14:textId="77777777" w:rsidR="004E0497" w:rsidRPr="00862F6A" w:rsidRDefault="004E0497" w:rsidP="00E60B5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3A8C517F" w14:textId="77777777" w:rsidR="004E0497" w:rsidRPr="00862F6A" w:rsidRDefault="004E0497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</w:rPr>
              <w:t xml:space="preserve">Apply </w:t>
            </w:r>
            <w:hyperlink r:id="rId8" w:anchor="lockout" w:history="1">
              <w:r w:rsidRPr="00862F6A">
                <w:rPr>
                  <w:rStyle w:val="Hyperlink"/>
                  <w:rFonts w:ascii="Arial" w:hAnsi="Arial" w:cs="Arial"/>
                </w:rPr>
                <w:t>lockout</w:t>
              </w:r>
            </w:hyperlink>
            <w:r w:rsidRPr="00862F6A">
              <w:rPr>
                <w:rFonts w:ascii="Arial" w:hAnsi="Arial" w:cs="Arial"/>
              </w:rPr>
              <w:t xml:space="preserve"> locks and tags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0497" w:rsidRPr="00862F6A" w14:paraId="523C0A4E" w14:textId="77777777" w:rsidTr="008B1C09">
        <w:trPr>
          <w:trHeight w:val="730"/>
          <w:tblCellSpacing w:w="20" w:type="dxa"/>
        </w:trPr>
        <w:tc>
          <w:tcPr>
            <w:tcW w:w="466" w:type="dxa"/>
            <w:vMerge/>
          </w:tcPr>
          <w:p w14:paraId="30C3B761" w14:textId="77777777" w:rsidR="004E0497" w:rsidRPr="00862F6A" w:rsidRDefault="004E0497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outset" w:sz="6" w:space="0" w:color="auto"/>
            </w:tcBorders>
          </w:tcPr>
          <w:p w14:paraId="5F5EE126" w14:textId="77777777" w:rsidR="004E0497" w:rsidRDefault="004E0497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  <w:p w14:paraId="55F051A2" w14:textId="77777777" w:rsidR="004E0497" w:rsidRPr="00862F6A" w:rsidRDefault="004E0497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28" w:type="dxa"/>
            <w:gridSpan w:val="2"/>
            <w:tcBorders>
              <w:right w:val="outset" w:sz="6" w:space="0" w:color="ACA899"/>
            </w:tcBorders>
          </w:tcPr>
          <w:p w14:paraId="7F78A417" w14:textId="77777777" w:rsidR="004E0497" w:rsidRPr="00862F6A" w:rsidRDefault="004E0497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Affix devices, tags, and locks to each energy-isolating device in a safe or off configuration.</w:t>
            </w:r>
          </w:p>
        </w:tc>
      </w:tr>
      <w:tr w:rsidR="0012428E" w:rsidRPr="00862F6A" w14:paraId="3A0F932C" w14:textId="77777777" w:rsidTr="0012428E">
        <w:trPr>
          <w:trHeight w:val="442"/>
          <w:tblCellSpacing w:w="20" w:type="dxa"/>
        </w:trPr>
        <w:tc>
          <w:tcPr>
            <w:tcW w:w="466" w:type="dxa"/>
            <w:vMerge w:val="restart"/>
          </w:tcPr>
          <w:p w14:paraId="6464273A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12" w:type="dxa"/>
            <w:vMerge w:val="restart"/>
          </w:tcPr>
          <w:p w14:paraId="7141D48D" w14:textId="77777777" w:rsidR="0012428E" w:rsidRPr="00862F6A" w:rsidRDefault="0012428E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0584286D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Release all stored energy.</w:t>
            </w:r>
          </w:p>
        </w:tc>
      </w:tr>
      <w:tr w:rsidR="0012428E" w:rsidRPr="00862F6A" w14:paraId="68DB016B" w14:textId="77777777" w:rsidTr="0012428E">
        <w:trPr>
          <w:trHeight w:val="255"/>
          <w:tblCellSpacing w:w="20" w:type="dxa"/>
        </w:trPr>
        <w:tc>
          <w:tcPr>
            <w:tcW w:w="466" w:type="dxa"/>
            <w:vMerge/>
          </w:tcPr>
          <w:p w14:paraId="028DD3F5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vMerge/>
          </w:tcPr>
          <w:p w14:paraId="160910BC" w14:textId="77777777" w:rsidR="0012428E" w:rsidRPr="00862F6A" w:rsidRDefault="0012428E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5" w:type="dxa"/>
          </w:tcPr>
          <w:p w14:paraId="74D3AEA6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6943" w:type="dxa"/>
          </w:tcPr>
          <w:p w14:paraId="77E0098B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Release, restrain, block, disconnect, or otherwise render residual or stored energy safe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428E" w:rsidRPr="00862F6A" w14:paraId="26F05D67" w14:textId="77777777" w:rsidTr="0012428E">
        <w:trPr>
          <w:trHeight w:val="255"/>
          <w:tblCellSpacing w:w="20" w:type="dxa"/>
        </w:trPr>
        <w:tc>
          <w:tcPr>
            <w:tcW w:w="466" w:type="dxa"/>
            <w:vMerge/>
          </w:tcPr>
          <w:p w14:paraId="34D263AD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vMerge/>
          </w:tcPr>
          <w:p w14:paraId="0646BCB7" w14:textId="77777777" w:rsidR="0012428E" w:rsidRPr="00862F6A" w:rsidRDefault="0012428E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5" w:type="dxa"/>
          </w:tcPr>
          <w:p w14:paraId="62C27C4A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6943" w:type="dxa"/>
          </w:tcPr>
          <w:p w14:paraId="5A270B7B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Use energy drains (drain pressurized lines, free-whee</w:t>
            </w:r>
            <w:r>
              <w:rPr>
                <w:rFonts w:ascii="Arial" w:hAnsi="Arial" w:cs="Arial"/>
              </w:rPr>
              <w:t>ling shafts, active ground</w:t>
            </w:r>
            <w:r w:rsidRPr="00862F6A">
              <w:rPr>
                <w:rFonts w:ascii="Arial" w:hAnsi="Arial" w:cs="Arial"/>
              </w:rPr>
              <w:t>) whenever possible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428E" w:rsidRPr="00862F6A" w14:paraId="0F3A7A51" w14:textId="77777777" w:rsidTr="0012428E">
        <w:trPr>
          <w:trHeight w:val="255"/>
          <w:tblCellSpacing w:w="20" w:type="dxa"/>
        </w:trPr>
        <w:tc>
          <w:tcPr>
            <w:tcW w:w="466" w:type="dxa"/>
            <w:vMerge/>
          </w:tcPr>
          <w:p w14:paraId="6E3C0B96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vMerge/>
          </w:tcPr>
          <w:p w14:paraId="10956B29" w14:textId="77777777" w:rsidR="0012428E" w:rsidRPr="00862F6A" w:rsidRDefault="0012428E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5" w:type="dxa"/>
          </w:tcPr>
          <w:p w14:paraId="4F3CCC80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6943" w:type="dxa"/>
          </w:tcPr>
          <w:p w14:paraId="6A7E24B6" w14:textId="77777777" w:rsidR="00604089" w:rsidRPr="00604089" w:rsidRDefault="0012428E" w:rsidP="00604089">
            <w:pPr>
              <w:spacing w:before="120" w:after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>If energy can re-accumulate during shutdown, continually verify a safe energy level until lockout/tagout is removed.</w:t>
            </w:r>
          </w:p>
          <w:p w14:paraId="04534EA2" w14:textId="77777777" w:rsidR="00604089" w:rsidRPr="00604089" w:rsidRDefault="00604089" w:rsidP="00604089">
            <w:pPr>
              <w:rPr>
                <w:rFonts w:ascii="Arial" w:hAnsi="Arial" w:cs="Arial"/>
              </w:rPr>
            </w:pPr>
          </w:p>
          <w:p w14:paraId="0AFC61A4" w14:textId="77777777" w:rsidR="00604089" w:rsidRPr="00604089" w:rsidRDefault="00604089" w:rsidP="00604089">
            <w:pPr>
              <w:rPr>
                <w:rFonts w:ascii="Arial" w:hAnsi="Arial" w:cs="Arial"/>
              </w:rPr>
            </w:pPr>
          </w:p>
        </w:tc>
      </w:tr>
      <w:tr w:rsidR="0012428E" w:rsidRPr="00862F6A" w14:paraId="7B188420" w14:textId="77777777" w:rsidTr="0012428E">
        <w:trPr>
          <w:trHeight w:val="255"/>
          <w:tblCellSpacing w:w="20" w:type="dxa"/>
        </w:trPr>
        <w:tc>
          <w:tcPr>
            <w:tcW w:w="466" w:type="dxa"/>
          </w:tcPr>
          <w:p w14:paraId="51732F92" w14:textId="77777777" w:rsidR="0012428E" w:rsidRPr="00862F6A" w:rsidRDefault="0012428E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2F6A">
              <w:rPr>
                <w:rFonts w:ascii="Arial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712" w:type="dxa"/>
          </w:tcPr>
          <w:p w14:paraId="4AF4CC14" w14:textId="77777777" w:rsidR="0012428E" w:rsidRPr="00862F6A" w:rsidRDefault="0012428E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62F6A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6A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862F6A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2C460584" w14:textId="77777777" w:rsidR="0012428E" w:rsidRPr="00862F6A" w:rsidRDefault="0012428E" w:rsidP="0012428E">
            <w:pPr>
              <w:spacing w:before="120"/>
              <w:rPr>
                <w:rFonts w:ascii="Arial" w:hAnsi="Arial" w:cs="Arial"/>
              </w:rPr>
            </w:pPr>
            <w:r w:rsidRPr="00862F6A">
              <w:rPr>
                <w:rFonts w:ascii="Arial" w:hAnsi="Arial" w:cs="Arial"/>
              </w:rPr>
              <w:t xml:space="preserve">Physically verify energy isolation by operating controls or measuring the energy state (use a meter to verify </w:t>
            </w:r>
            <w:r w:rsidR="003F2F20">
              <w:rPr>
                <w:rFonts w:ascii="Arial" w:hAnsi="Arial" w:cs="Arial"/>
              </w:rPr>
              <w:t xml:space="preserve">zero </w:t>
            </w:r>
            <w:r w:rsidRPr="00862F6A">
              <w:rPr>
                <w:rFonts w:ascii="Arial" w:hAnsi="Arial" w:cs="Arial"/>
              </w:rPr>
              <w:t>energy</w:t>
            </w:r>
            <w:r w:rsidR="003F2F20">
              <w:rPr>
                <w:rFonts w:ascii="Arial" w:hAnsi="Arial" w:cs="Arial"/>
              </w:rPr>
              <w:t xml:space="preserve"> </w:t>
            </w:r>
            <w:r w:rsidR="00AD5D16">
              <w:rPr>
                <w:rFonts w:ascii="Arial" w:hAnsi="Arial" w:cs="Arial"/>
              </w:rPr>
              <w:t>per</w:t>
            </w:r>
            <w:r w:rsidR="003F2F20">
              <w:rPr>
                <w:rFonts w:ascii="Arial" w:hAnsi="Arial" w:cs="Arial"/>
              </w:rPr>
              <w:t xml:space="preserve"> NFPA 70E Article 120</w:t>
            </w:r>
            <w:r w:rsidRPr="00862F6A">
              <w:rPr>
                <w:rFonts w:ascii="Arial" w:hAnsi="Arial" w:cs="Arial"/>
              </w:rPr>
              <w:t>, operat</w:t>
            </w:r>
            <w:r w:rsidR="00AD5D16">
              <w:rPr>
                <w:rFonts w:ascii="Arial" w:hAnsi="Arial" w:cs="Arial"/>
              </w:rPr>
              <w:t>e</w:t>
            </w:r>
            <w:r w:rsidRPr="00862F6A">
              <w:rPr>
                <w:rFonts w:ascii="Arial" w:hAnsi="Arial" w:cs="Arial"/>
              </w:rPr>
              <w:t xml:space="preserve"> the startup controls)</w:t>
            </w:r>
            <w:r>
              <w:rPr>
                <w:rFonts w:ascii="Arial" w:hAnsi="Arial" w:cs="Arial"/>
              </w:rPr>
              <w:t>.</w:t>
            </w:r>
            <w:r w:rsidRPr="00862F6A">
              <w:rPr>
                <w:rFonts w:ascii="Arial" w:hAnsi="Arial" w:cs="Arial"/>
              </w:rPr>
              <w:t xml:space="preserve"> </w:t>
            </w:r>
          </w:p>
          <w:p w14:paraId="154E6229" w14:textId="77777777" w:rsidR="0012428E" w:rsidRPr="00862F6A" w:rsidRDefault="0012428E" w:rsidP="0012428E">
            <w:pPr>
              <w:spacing w:before="120" w:after="120"/>
              <w:rPr>
                <w:rFonts w:ascii="Arial" w:hAnsi="Arial" w:cs="Arial"/>
              </w:rPr>
            </w:pPr>
            <w:r w:rsidRPr="003E71CA">
              <w:rPr>
                <w:rFonts w:ascii="Arial" w:hAnsi="Arial" w:cs="Arial"/>
                <w:b/>
              </w:rPr>
              <w:t xml:space="preserve">Note: </w:t>
            </w:r>
            <w:r w:rsidRPr="00862F6A">
              <w:rPr>
                <w:rFonts w:ascii="Arial" w:hAnsi="Arial" w:cs="Arial"/>
              </w:rPr>
              <w:t xml:space="preserve"> If the worksite has been left unatten</w:t>
            </w:r>
            <w:r w:rsidR="00843E77">
              <w:rPr>
                <w:rFonts w:ascii="Arial" w:hAnsi="Arial" w:cs="Arial"/>
              </w:rPr>
              <w:t>ded, repeat S</w:t>
            </w:r>
            <w:r>
              <w:rPr>
                <w:rFonts w:ascii="Arial" w:hAnsi="Arial" w:cs="Arial"/>
              </w:rPr>
              <w:t xml:space="preserve">tep </w:t>
            </w:r>
            <w:r w:rsidRPr="00862F6A">
              <w:rPr>
                <w:rFonts w:ascii="Arial" w:hAnsi="Arial" w:cs="Arial"/>
              </w:rPr>
              <w:t>6 and verify the integrity of locks and tags (against tampering) before continuing work</w:t>
            </w:r>
            <w:r>
              <w:rPr>
                <w:rFonts w:ascii="Arial" w:hAnsi="Arial" w:cs="Arial"/>
              </w:rPr>
              <w:t>.</w:t>
            </w:r>
          </w:p>
        </w:tc>
      </w:tr>
      <w:tr w:rsidR="00B7253A" w:rsidRPr="00862F6A" w14:paraId="69DE9378" w14:textId="77777777" w:rsidTr="0012428E">
        <w:trPr>
          <w:trHeight w:val="255"/>
          <w:tblCellSpacing w:w="20" w:type="dxa"/>
        </w:trPr>
        <w:tc>
          <w:tcPr>
            <w:tcW w:w="466" w:type="dxa"/>
          </w:tcPr>
          <w:p w14:paraId="7691B988" w14:textId="77777777" w:rsidR="00B7253A" w:rsidRPr="00B70392" w:rsidRDefault="00B7253A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 xml:space="preserve">7. </w:t>
            </w:r>
          </w:p>
        </w:tc>
        <w:tc>
          <w:tcPr>
            <w:tcW w:w="712" w:type="dxa"/>
          </w:tcPr>
          <w:p w14:paraId="4F8784A0" w14:textId="77777777" w:rsidR="00B7253A" w:rsidRPr="00B70392" w:rsidRDefault="00004F69" w:rsidP="00E60B5D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1CF7CF76" w14:textId="77777777" w:rsidR="00B7253A" w:rsidRPr="00B70392" w:rsidRDefault="00B7253A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Perform Work</w:t>
            </w:r>
          </w:p>
        </w:tc>
      </w:tr>
      <w:tr w:rsidR="00B7253A" w:rsidRPr="00862F6A" w14:paraId="29A16FB4" w14:textId="77777777" w:rsidTr="00B7253A">
        <w:trPr>
          <w:trHeight w:val="255"/>
          <w:tblCellSpacing w:w="20" w:type="dxa"/>
        </w:trPr>
        <w:tc>
          <w:tcPr>
            <w:tcW w:w="8886" w:type="dxa"/>
            <w:gridSpan w:val="4"/>
            <w:tcBorders>
              <w:right w:val="outset" w:sz="6" w:space="0" w:color="ACA899"/>
            </w:tcBorders>
          </w:tcPr>
          <w:p w14:paraId="1ACC45E0" w14:textId="77777777" w:rsidR="00B7253A" w:rsidRPr="00B70392" w:rsidRDefault="00004F69" w:rsidP="00B703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392">
              <w:rPr>
                <w:rFonts w:ascii="Arial" w:hAnsi="Arial" w:cs="Arial"/>
                <w:b/>
                <w:sz w:val="20"/>
                <w:szCs w:val="20"/>
              </w:rPr>
              <w:t>Steps to remove LOTO</w:t>
            </w:r>
          </w:p>
        </w:tc>
      </w:tr>
      <w:tr w:rsidR="00004F69" w:rsidRPr="00862F6A" w14:paraId="28C0B28C" w14:textId="77777777" w:rsidTr="00004F69">
        <w:trPr>
          <w:trHeight w:val="802"/>
          <w:tblCellSpacing w:w="20" w:type="dxa"/>
        </w:trPr>
        <w:tc>
          <w:tcPr>
            <w:tcW w:w="466" w:type="dxa"/>
          </w:tcPr>
          <w:p w14:paraId="31471140" w14:textId="77777777" w:rsidR="00004F69" w:rsidRPr="00B70392" w:rsidRDefault="00004F69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712" w:type="dxa"/>
          </w:tcPr>
          <w:p w14:paraId="0E6D9B52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</w:p>
          <w:p w14:paraId="1DEC4ED1" w14:textId="77777777" w:rsidR="00004F69" w:rsidRPr="00B70392" w:rsidRDefault="00004F69"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0D9859FB" w14:textId="77777777" w:rsidR="00004F69" w:rsidRPr="00B70392" w:rsidRDefault="00004F69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Inspect the work area to ensure that nonessential items have been removed and the work has been completed.</w:t>
            </w:r>
          </w:p>
        </w:tc>
      </w:tr>
      <w:tr w:rsidR="00004F69" w:rsidRPr="00862F6A" w14:paraId="37F0625F" w14:textId="77777777" w:rsidTr="00004F69">
        <w:trPr>
          <w:trHeight w:val="838"/>
          <w:tblCellSpacing w:w="20" w:type="dxa"/>
        </w:trPr>
        <w:tc>
          <w:tcPr>
            <w:tcW w:w="466" w:type="dxa"/>
          </w:tcPr>
          <w:p w14:paraId="038E7FD4" w14:textId="77777777" w:rsidR="00004F69" w:rsidRPr="00B70392" w:rsidRDefault="00004F69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12" w:type="dxa"/>
          </w:tcPr>
          <w:p w14:paraId="0CCA88C3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</w:p>
          <w:p w14:paraId="50ED62C7" w14:textId="77777777" w:rsidR="00004F69" w:rsidRPr="00B70392" w:rsidRDefault="00004F69"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3DF34023" w14:textId="77777777" w:rsidR="00004F69" w:rsidRPr="00B70392" w:rsidRDefault="00004F69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Ensure that the work area is clear of personnel.</w:t>
            </w:r>
          </w:p>
        </w:tc>
      </w:tr>
      <w:tr w:rsidR="00004F69" w:rsidRPr="00862F6A" w14:paraId="72C15514" w14:textId="77777777" w:rsidTr="00004F69">
        <w:trPr>
          <w:trHeight w:val="838"/>
          <w:tblCellSpacing w:w="20" w:type="dxa"/>
        </w:trPr>
        <w:tc>
          <w:tcPr>
            <w:tcW w:w="466" w:type="dxa"/>
          </w:tcPr>
          <w:p w14:paraId="1BFAA052" w14:textId="77777777" w:rsidR="00004F69" w:rsidRPr="00B70392" w:rsidRDefault="00004F69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12" w:type="dxa"/>
          </w:tcPr>
          <w:p w14:paraId="78E51A0A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</w:p>
          <w:p w14:paraId="0824F0F1" w14:textId="77777777" w:rsidR="00004F69" w:rsidRPr="00B70392" w:rsidRDefault="00004F69"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0C3BF20B" w14:textId="77777777" w:rsidR="00004F69" w:rsidRPr="00B70392" w:rsidRDefault="00004F69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Remove LOTO devices</w:t>
            </w:r>
          </w:p>
        </w:tc>
      </w:tr>
      <w:tr w:rsidR="00004F69" w:rsidRPr="00862F6A" w14:paraId="04846D23" w14:textId="77777777" w:rsidTr="00004F69">
        <w:trPr>
          <w:trHeight w:val="820"/>
          <w:tblCellSpacing w:w="20" w:type="dxa"/>
        </w:trPr>
        <w:tc>
          <w:tcPr>
            <w:tcW w:w="466" w:type="dxa"/>
          </w:tcPr>
          <w:p w14:paraId="7DE9CC3C" w14:textId="77777777" w:rsidR="00004F69" w:rsidRPr="00B70392" w:rsidRDefault="00004F69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12" w:type="dxa"/>
          </w:tcPr>
          <w:p w14:paraId="0D4D1043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</w:p>
          <w:p w14:paraId="6075948F" w14:textId="77777777" w:rsidR="00004F69" w:rsidRPr="00B70392" w:rsidRDefault="00004F69"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7628" w:type="dxa"/>
            <w:gridSpan w:val="2"/>
          </w:tcPr>
          <w:p w14:paraId="19D110F6" w14:textId="77777777" w:rsidR="00004F69" w:rsidRPr="00B70392" w:rsidRDefault="00004F69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Inform affected employees that the work has been completed and that locks and tags have been removed.</w:t>
            </w:r>
          </w:p>
        </w:tc>
      </w:tr>
      <w:tr w:rsidR="00004F69" w:rsidRPr="00862F6A" w14:paraId="74F316AB" w14:textId="77777777" w:rsidTr="0012428E">
        <w:trPr>
          <w:trHeight w:val="255"/>
          <w:tblCellSpacing w:w="20" w:type="dxa"/>
        </w:trPr>
        <w:tc>
          <w:tcPr>
            <w:tcW w:w="466" w:type="dxa"/>
          </w:tcPr>
          <w:p w14:paraId="675B7AEE" w14:textId="77777777" w:rsidR="00004F69" w:rsidRPr="00B70392" w:rsidRDefault="00004F69" w:rsidP="00E60B5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0392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712" w:type="dxa"/>
          </w:tcPr>
          <w:p w14:paraId="3B87E489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</w:p>
          <w:p w14:paraId="67574112" w14:textId="77777777" w:rsidR="00004F69" w:rsidRPr="00B70392" w:rsidRDefault="00004F69">
            <w:pPr>
              <w:rPr>
                <w:rFonts w:ascii="Arial" w:eastAsia="Arial Unicode MS" w:hAnsi="Arial" w:cs="Arial"/>
              </w:rPr>
            </w:pPr>
            <w:r w:rsidRPr="00B70392">
              <w:rPr>
                <w:rFonts w:ascii="Arial" w:eastAsia="Arial Unicode M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392">
              <w:rPr>
                <w:rFonts w:ascii="Arial" w:eastAsia="Arial Unicode MS" w:hAnsi="Arial" w:cs="Arial"/>
              </w:rPr>
              <w:instrText xml:space="preserve"> FORMCHECKBOX </w:instrText>
            </w:r>
            <w:r w:rsidR="0067653B">
              <w:rPr>
                <w:rFonts w:ascii="Arial" w:eastAsia="Arial Unicode MS" w:hAnsi="Arial" w:cs="Arial"/>
              </w:rPr>
            </w:r>
            <w:r w:rsidR="0067653B">
              <w:rPr>
                <w:rFonts w:ascii="Arial" w:eastAsia="Arial Unicode MS" w:hAnsi="Arial" w:cs="Arial"/>
              </w:rPr>
              <w:fldChar w:fldCharType="separate"/>
            </w:r>
            <w:r w:rsidRPr="00B70392">
              <w:rPr>
                <w:rFonts w:ascii="Arial" w:eastAsia="Arial Unicode MS" w:hAnsi="Arial" w:cs="Arial"/>
              </w:rPr>
              <w:fldChar w:fldCharType="end"/>
            </w:r>
          </w:p>
          <w:p w14:paraId="19683F8F" w14:textId="77777777" w:rsidR="00004F69" w:rsidRPr="00B70392" w:rsidRDefault="00004F69"/>
        </w:tc>
        <w:tc>
          <w:tcPr>
            <w:tcW w:w="7628" w:type="dxa"/>
            <w:gridSpan w:val="2"/>
          </w:tcPr>
          <w:p w14:paraId="4F5B19A1" w14:textId="77777777" w:rsidR="00004F69" w:rsidRPr="00B70392" w:rsidRDefault="00004F69" w:rsidP="0012428E">
            <w:pPr>
              <w:spacing w:before="120"/>
              <w:rPr>
                <w:rFonts w:ascii="Arial" w:hAnsi="Arial" w:cs="Arial"/>
              </w:rPr>
            </w:pPr>
            <w:r w:rsidRPr="00B70392">
              <w:rPr>
                <w:rFonts w:ascii="Arial" w:hAnsi="Arial" w:cs="Arial"/>
              </w:rPr>
              <w:t>Restore Equipment to service.</w:t>
            </w:r>
          </w:p>
        </w:tc>
      </w:tr>
    </w:tbl>
    <w:p w14:paraId="2CB98E84" w14:textId="77777777" w:rsidR="007F5AE3" w:rsidRDefault="007F5AE3" w:rsidP="007F5AE3">
      <w:pPr>
        <w:autoSpaceDE w:val="0"/>
        <w:autoSpaceDN w:val="0"/>
        <w:adjustRightInd w:val="0"/>
        <w:spacing w:after="120"/>
        <w:ind w:left="360"/>
      </w:pPr>
    </w:p>
    <w:p w14:paraId="659D231C" w14:textId="77777777" w:rsidR="007F5AE3" w:rsidRDefault="0067653B" w:rsidP="007F5AE3">
      <w:pPr>
        <w:autoSpaceDE w:val="0"/>
        <w:autoSpaceDN w:val="0"/>
        <w:adjustRightInd w:val="0"/>
        <w:spacing w:after="120"/>
        <w:ind w:left="360"/>
      </w:pPr>
      <w:r>
        <w:rPr>
          <w:rFonts w:ascii="Arial" w:hAnsi="Arial" w:cs="Arial"/>
          <w:lang w:val="en"/>
        </w:rPr>
        <w:pict w14:anchorId="18995697">
          <v:rect id="_x0000_i1025" style="width:0;height:1.5pt" o:hralign="center" o:hrstd="t" o:hr="t" fillcolor="gray" stroked="f"/>
        </w:pict>
      </w:r>
    </w:p>
    <w:p w14:paraId="5858DC1C" w14:textId="77777777" w:rsidR="00DE350E" w:rsidRDefault="00DE350E" w:rsidP="00DE350E">
      <w:pPr>
        <w:tabs>
          <w:tab w:val="left" w:pos="26253"/>
        </w:tabs>
        <w:suppressAutoHyphens/>
        <w:rPr>
          <w:rFonts w:ascii="Arial" w:hAnsi="Arial" w:cs="Arial"/>
          <w:b/>
          <w:sz w:val="48"/>
          <w:szCs w:val="48"/>
        </w:rPr>
      </w:pPr>
    </w:p>
    <w:p w14:paraId="64011070" w14:textId="77777777" w:rsidR="00DE350E" w:rsidRDefault="00DE350E" w:rsidP="00DE350E">
      <w:pPr>
        <w:tabs>
          <w:tab w:val="left" w:pos="26253"/>
        </w:tabs>
        <w:suppressAutoHyphens/>
        <w:rPr>
          <w:rFonts w:ascii="Arial" w:hAnsi="Arial" w:cs="Arial"/>
          <w:b/>
          <w:sz w:val="48"/>
          <w:szCs w:val="48"/>
        </w:rPr>
      </w:pPr>
    </w:p>
    <w:p w14:paraId="17E0729B" w14:textId="77777777" w:rsidR="000E00BC" w:rsidRPr="0026224A" w:rsidRDefault="00DE350E" w:rsidP="0026224A">
      <w:pPr>
        <w:tabs>
          <w:tab w:val="left" w:pos="26253"/>
        </w:tabs>
        <w:suppressAutoHyphens/>
        <w:rPr>
          <w:rFonts w:ascii="Arial" w:hAnsi="Arial" w:cs="Arial"/>
          <w:b/>
          <w:sz w:val="28"/>
          <w:u w:val="single"/>
        </w:rPr>
      </w:pPr>
      <w:r w:rsidRPr="00DE350E">
        <w:rPr>
          <w:rFonts w:ascii="Arial" w:hAnsi="Arial" w:cs="Arial"/>
          <w:b/>
          <w:sz w:val="36"/>
          <w:szCs w:val="36"/>
        </w:rPr>
        <w:br/>
      </w:r>
    </w:p>
    <w:sectPr w:rsidR="000E00BC" w:rsidRPr="0026224A" w:rsidSect="00502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A795" w14:textId="77777777" w:rsidR="00942815" w:rsidRDefault="00942815">
      <w:r>
        <w:separator/>
      </w:r>
    </w:p>
  </w:endnote>
  <w:endnote w:type="continuationSeparator" w:id="0">
    <w:p w14:paraId="15209934" w14:textId="77777777" w:rsidR="00942815" w:rsidRDefault="009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eanSans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eanSansStd-Light">
    <w:altName w:val="Ocean Sans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6810" w14:textId="77777777" w:rsidR="004E0497" w:rsidRDefault="004E0497" w:rsidP="00FF0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D0FAB" w14:textId="77777777" w:rsidR="004E0497" w:rsidRDefault="004E0497" w:rsidP="00303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1C4D" w14:textId="77777777" w:rsidR="004E0497" w:rsidRDefault="004E0497" w:rsidP="00FF0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3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535F90" w14:textId="77777777" w:rsidR="004E0497" w:rsidRDefault="007A6D5F" w:rsidP="007A6D5F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DA06F" wp14:editId="4E50AB13">
              <wp:simplePos x="0" y="0"/>
              <wp:positionH relativeFrom="column">
                <wp:posOffset>247650</wp:posOffset>
              </wp:positionH>
              <wp:positionV relativeFrom="paragraph">
                <wp:posOffset>9489440</wp:posOffset>
              </wp:positionV>
              <wp:extent cx="6062980" cy="4572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2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D5E8C" w14:textId="77777777" w:rsidR="007A6D5F" w:rsidRPr="007A6E93" w:rsidRDefault="007A6D5F" w:rsidP="007A6D5F">
                          <w:pPr>
                            <w:pStyle w:val="Default"/>
                          </w:pPr>
                          <w:r w:rsidRPr="007A6D5F">
                            <w:rPr>
                              <w:rStyle w:val="contents"/>
                              <w:rFonts w:cs="OceanSansStd-Light"/>
                              <w:color w:val="000000"/>
                              <w:spacing w:val="1"/>
                              <w:w w:val="98"/>
                              <w:sz w:val="14"/>
                              <w:szCs w:val="14"/>
                            </w:rPr>
                            <w:t xml:space="preserve">Sandia National Laboratories is a </w:t>
                          </w:r>
                          <w:proofErr w:type="spellStart"/>
                          <w:r w:rsidRPr="007A6D5F">
                            <w:rPr>
                              <w:rStyle w:val="contents"/>
                              <w:rFonts w:cs="OceanSansStd-Light"/>
                              <w:color w:val="000000"/>
                              <w:spacing w:val="1"/>
                              <w:w w:val="98"/>
                              <w:sz w:val="14"/>
                              <w:szCs w:val="14"/>
                            </w:rPr>
                            <w:t>multimission</w:t>
                          </w:r>
                          <w:proofErr w:type="spellEnd"/>
                          <w:r w:rsidRPr="007A6D5F">
                            <w:rPr>
                              <w:rStyle w:val="contents"/>
                              <w:rFonts w:cs="OceanSansStd-Light"/>
                              <w:color w:val="000000"/>
                              <w:spacing w:val="1"/>
                              <w:w w:val="98"/>
                              <w:sz w:val="14"/>
                              <w:szCs w:val="14"/>
                            </w:rPr>
                            <w:t xml:space="preserve"> laboratory managed and operated by National Technology &amp; Engineering Solutions of Sandia, LLC, a wholly owned subsidiary of Honeywell International Inc., for the U.S. Department of Energy’s National Nuclear Securi</w:t>
                          </w:r>
                          <w:r w:rsidRPr="007A6D5F">
                            <w:rPr>
                              <w:rStyle w:val="contents"/>
                              <w:rFonts w:cs="OceanSansStd-Light"/>
                              <w:color w:val="000000"/>
                              <w:spacing w:val="1"/>
                              <w:w w:val="98"/>
                              <w:sz w:val="14"/>
                              <w:szCs w:val="14"/>
                            </w:rPr>
                            <w:softHyphen/>
                          </w:r>
                          <w:r w:rsidRPr="007A6D5F">
                            <w:rPr>
                              <w:rStyle w:val="contents"/>
                              <w:rFonts w:cs="OceanSansStd-Light"/>
                              <w:color w:val="000000"/>
                              <w:spacing w:val="1"/>
                              <w:w w:val="98"/>
                              <w:sz w:val="14"/>
                              <w:szCs w:val="14"/>
                            </w:rPr>
                            <w:softHyphen/>
                            <w:t>ty Administration under contract DE-</w:t>
                          </w:r>
                          <w:r>
                            <w:rPr>
                              <w:spacing w:val="1"/>
                              <w:w w:val="98"/>
                              <w:sz w:val="14"/>
                              <w:szCs w:val="14"/>
                            </w:rPr>
                            <w:t>NA0003525.</w:t>
                          </w:r>
                        </w:p>
                        <w:p w14:paraId="03510C9C" w14:textId="77777777" w:rsidR="007A6D5F" w:rsidRPr="007A6D5F" w:rsidRDefault="007A6D5F" w:rsidP="007A6D5F">
                          <w:pPr>
                            <w:rPr>
                              <w:color w:val="000000"/>
                              <w:w w:val="9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DA0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9.5pt;margin-top:747.2pt;width:477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" filled="f" stroked="f">
              <v:textbox>
                <w:txbxContent>
                  <w:p w14:paraId="4EED5E8C" w14:textId="77777777" w:rsidR="007A6D5F" w:rsidRPr="007A6E93" w:rsidRDefault="007A6D5F" w:rsidP="007A6D5F">
                    <w:pPr>
                      <w:pStyle w:val="Default"/>
                    </w:pPr>
                    <w:r w:rsidRPr="007A6D5F">
                      <w:rPr>
                        <w:rStyle w:val="contents"/>
                        <w:rFonts w:cs="OceanSansStd-Light"/>
                        <w:color w:val="000000"/>
                        <w:spacing w:val="1"/>
                        <w:w w:val="98"/>
                        <w:sz w:val="14"/>
                        <w:szCs w:val="14"/>
                      </w:rPr>
                      <w:t xml:space="preserve">Sandia National Laboratories is a </w:t>
                    </w:r>
                    <w:proofErr w:type="spellStart"/>
                    <w:r w:rsidRPr="007A6D5F">
                      <w:rPr>
                        <w:rStyle w:val="contents"/>
                        <w:rFonts w:cs="OceanSansStd-Light"/>
                        <w:color w:val="000000"/>
                        <w:spacing w:val="1"/>
                        <w:w w:val="98"/>
                        <w:sz w:val="14"/>
                        <w:szCs w:val="14"/>
                      </w:rPr>
                      <w:t>multimission</w:t>
                    </w:r>
                    <w:proofErr w:type="spellEnd"/>
                    <w:r w:rsidRPr="007A6D5F">
                      <w:rPr>
                        <w:rStyle w:val="contents"/>
                        <w:rFonts w:cs="OceanSansStd-Light"/>
                        <w:color w:val="000000"/>
                        <w:spacing w:val="1"/>
                        <w:w w:val="98"/>
                        <w:sz w:val="14"/>
                        <w:szCs w:val="14"/>
                      </w:rPr>
                      <w:t xml:space="preserve"> laboratory managed and operated by National Technology &amp; Engineering Solutions of Sandia, LLC, a wholly owned subsidiary of Honeywell International Inc., for the U.S. Department of Energy’s National Nuclear Securi</w:t>
                    </w:r>
                    <w:r w:rsidRPr="007A6D5F">
                      <w:rPr>
                        <w:rStyle w:val="contents"/>
                        <w:rFonts w:cs="OceanSansStd-Light"/>
                        <w:color w:val="000000"/>
                        <w:spacing w:val="1"/>
                        <w:w w:val="98"/>
                        <w:sz w:val="14"/>
                        <w:szCs w:val="14"/>
                      </w:rPr>
                      <w:softHyphen/>
                    </w:r>
                    <w:r w:rsidRPr="007A6D5F">
                      <w:rPr>
                        <w:rStyle w:val="contents"/>
                        <w:rFonts w:cs="OceanSansStd-Light"/>
                        <w:color w:val="000000"/>
                        <w:spacing w:val="1"/>
                        <w:w w:val="98"/>
                        <w:sz w:val="14"/>
                        <w:szCs w:val="14"/>
                      </w:rPr>
                      <w:softHyphen/>
                      <w:t>ty Administration under contract DE-</w:t>
                    </w:r>
                    <w:r>
                      <w:rPr>
                        <w:spacing w:val="1"/>
                        <w:w w:val="98"/>
                        <w:sz w:val="14"/>
                        <w:szCs w:val="14"/>
                      </w:rPr>
                      <w:t>NA0003525.</w:t>
                    </w:r>
                  </w:p>
                  <w:p w14:paraId="03510C9C" w14:textId="77777777" w:rsidR="007A6D5F" w:rsidRPr="007A6D5F" w:rsidRDefault="007A6D5F" w:rsidP="007A6D5F">
                    <w:pPr>
                      <w:rPr>
                        <w:color w:val="000000"/>
                        <w:w w:val="9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9DE1" w14:textId="77777777" w:rsidR="005021B3" w:rsidRDefault="005021B3" w:rsidP="00502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1B7488D2" w14:textId="77777777" w:rsidR="007A6D5F" w:rsidRDefault="005021B3">
    <w:pPr>
      <w:pStyle w:val="Footer"/>
    </w:pPr>
    <w:r w:rsidRPr="005021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CF33" wp14:editId="647C7C17">
              <wp:simplePos x="0" y="0"/>
              <wp:positionH relativeFrom="column">
                <wp:posOffset>-327074</wp:posOffset>
              </wp:positionH>
              <wp:positionV relativeFrom="paragraph">
                <wp:posOffset>-92026</wp:posOffset>
              </wp:positionV>
              <wp:extent cx="5634111" cy="45720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411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C9664A" w14:textId="77777777" w:rsidR="005021B3" w:rsidRPr="00604089" w:rsidRDefault="005021B3" w:rsidP="005021B3">
                          <w:pPr>
                            <w:rPr>
                              <w:rFonts w:ascii="Calibri" w:hAnsi="Calibri" w:cs="Calibri"/>
                              <w:color w:val="000000"/>
                              <w:w w:val="98"/>
                              <w:sz w:val="14"/>
                              <w:szCs w:val="14"/>
                            </w:rPr>
                          </w:pPr>
                          <w:r w:rsidRPr="00604089">
                            <w:rPr>
                              <w:rFonts w:ascii="Calibri" w:hAnsi="Calibri" w:cs="Calibri"/>
                              <w:spacing w:val="1"/>
                              <w:w w:val="98"/>
                              <w:sz w:val="14"/>
                              <w:szCs w:val="14"/>
                            </w:rPr>
                            <w:t xml:space="preserve">Sandia National Laboratories is a </w:t>
                          </w:r>
                          <w:proofErr w:type="spellStart"/>
                          <w:r w:rsidRPr="00604089">
                            <w:rPr>
                              <w:rFonts w:ascii="Calibri" w:hAnsi="Calibri" w:cs="Calibri"/>
                              <w:spacing w:val="1"/>
                              <w:w w:val="98"/>
                              <w:sz w:val="14"/>
                              <w:szCs w:val="14"/>
                            </w:rPr>
                            <w:t>multimission</w:t>
                          </w:r>
                          <w:proofErr w:type="spellEnd"/>
                          <w:r w:rsidRPr="00604089">
                            <w:rPr>
                              <w:rFonts w:ascii="Calibri" w:hAnsi="Calibri" w:cs="Calibri"/>
                              <w:spacing w:val="1"/>
                              <w:w w:val="98"/>
                              <w:sz w:val="14"/>
                              <w:szCs w:val="14"/>
                            </w:rPr>
                            <w:t xml:space="preserve"> laboratory managed and operated by National Technology and Engineering Solutions of Sandia LLC, a wholly owned subsidiary of Honeywell International Inc. for the U.S. Department of Energy’s National Nuclear Security Administration under contract DE-NA0003525.</w:t>
                          </w:r>
                          <w:r w:rsidRPr="00604089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bookmarkStart w:id="0" w:name="_GoBack"/>
                          <w:r w:rsidR="00BA162E" w:rsidRPr="00BA162E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SAND</w:t>
                          </w:r>
                          <w:r w:rsidR="00BA162E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2021-2798 O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CF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75pt;margin-top:-7.25pt;width:443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" filled="f" stroked="f">
              <v:textbox>
                <w:txbxContent>
                  <w:p w14:paraId="37C9664A" w14:textId="77777777" w:rsidR="005021B3" w:rsidRPr="00604089" w:rsidRDefault="005021B3" w:rsidP="005021B3">
                    <w:pPr>
                      <w:rPr>
                        <w:rFonts w:ascii="Calibri" w:hAnsi="Calibri" w:cs="Calibri"/>
                        <w:color w:val="000000"/>
                        <w:w w:val="98"/>
                        <w:sz w:val="14"/>
                        <w:szCs w:val="14"/>
                      </w:rPr>
                    </w:pPr>
                    <w:r w:rsidRPr="00604089">
                      <w:rPr>
                        <w:rFonts w:ascii="Calibri" w:hAnsi="Calibri" w:cs="Calibri"/>
                        <w:spacing w:val="1"/>
                        <w:w w:val="98"/>
                        <w:sz w:val="14"/>
                        <w:szCs w:val="14"/>
                      </w:rPr>
                      <w:t xml:space="preserve">Sandia National Laboratories is a </w:t>
                    </w:r>
                    <w:proofErr w:type="spellStart"/>
                    <w:r w:rsidRPr="00604089">
                      <w:rPr>
                        <w:rFonts w:ascii="Calibri" w:hAnsi="Calibri" w:cs="Calibri"/>
                        <w:spacing w:val="1"/>
                        <w:w w:val="98"/>
                        <w:sz w:val="14"/>
                        <w:szCs w:val="14"/>
                      </w:rPr>
                      <w:t>multimission</w:t>
                    </w:r>
                    <w:proofErr w:type="spellEnd"/>
                    <w:r w:rsidRPr="00604089">
                      <w:rPr>
                        <w:rFonts w:ascii="Calibri" w:hAnsi="Calibri" w:cs="Calibri"/>
                        <w:spacing w:val="1"/>
                        <w:w w:val="98"/>
                        <w:sz w:val="14"/>
                        <w:szCs w:val="14"/>
                      </w:rPr>
                      <w:t xml:space="preserve"> laboratory managed and operated by National Technology and Engineering Solutions of Sandia LLC, a wholly owned subsidiary of Honeywell International Inc. for the U.S. Department of Energy’s National Nuclear Security Administration under contract DE-NA0003525.</w:t>
                    </w:r>
                    <w:r w:rsidRPr="00604089">
                      <w:rPr>
                        <w:rFonts w:ascii="Calibri" w:hAnsi="Calibri" w:cs="Calibri"/>
                      </w:rPr>
                      <w:t xml:space="preserve"> </w:t>
                    </w:r>
                    <w:bookmarkStart w:id="1" w:name="_GoBack"/>
                    <w:r w:rsidR="00BA162E" w:rsidRPr="00BA162E">
                      <w:rPr>
                        <w:rFonts w:ascii="Calibri" w:hAnsi="Calibri" w:cs="Calibri"/>
                        <w:sz w:val="14"/>
                        <w:szCs w:val="14"/>
                      </w:rPr>
                      <w:t>SAND</w:t>
                    </w:r>
                    <w:r w:rsidR="00BA162E">
                      <w:rPr>
                        <w:rFonts w:ascii="Calibri" w:hAnsi="Calibri" w:cs="Calibri"/>
                        <w:sz w:val="14"/>
                        <w:szCs w:val="14"/>
                      </w:rPr>
                      <w:t>2021-2798 O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021B3">
      <w:rPr>
        <w:noProof/>
      </w:rPr>
      <w:drawing>
        <wp:anchor distT="0" distB="0" distL="114300" distR="114300" simplePos="0" relativeHeight="251666432" behindDoc="0" locked="0" layoutInCell="1" allowOverlap="1" wp14:anchorId="16B170C6" wp14:editId="30401D6B">
          <wp:simplePos x="0" y="0"/>
          <wp:positionH relativeFrom="column">
            <wp:posOffset>621030</wp:posOffset>
          </wp:positionH>
          <wp:positionV relativeFrom="paragraph">
            <wp:posOffset>-316865</wp:posOffset>
          </wp:positionV>
          <wp:extent cx="707390" cy="2070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1B3">
      <w:rPr>
        <w:noProof/>
      </w:rPr>
      <w:drawing>
        <wp:anchor distT="0" distB="0" distL="114300" distR="114300" simplePos="0" relativeHeight="251667456" behindDoc="0" locked="0" layoutInCell="1" allowOverlap="1" wp14:anchorId="26B56245" wp14:editId="1787C716">
          <wp:simplePos x="0" y="0"/>
          <wp:positionH relativeFrom="column">
            <wp:posOffset>-331470</wp:posOffset>
          </wp:positionH>
          <wp:positionV relativeFrom="paragraph">
            <wp:posOffset>-347345</wp:posOffset>
          </wp:positionV>
          <wp:extent cx="902335" cy="2254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8DC3" w14:textId="77777777" w:rsidR="00942815" w:rsidRDefault="00942815">
      <w:r>
        <w:separator/>
      </w:r>
    </w:p>
  </w:footnote>
  <w:footnote w:type="continuationSeparator" w:id="0">
    <w:p w14:paraId="2FA6F748" w14:textId="77777777" w:rsidR="00942815" w:rsidRDefault="0094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2C1B" w14:textId="77777777" w:rsidR="00BA162E" w:rsidRDefault="00BA1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A0B2" w14:textId="77777777" w:rsidR="00BA162E" w:rsidRDefault="00BA1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A599" w14:textId="77777777" w:rsidR="00BA162E" w:rsidRDefault="00BA1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78E"/>
    <w:multiLevelType w:val="hybridMultilevel"/>
    <w:tmpl w:val="82E277E4"/>
    <w:lvl w:ilvl="0" w:tplc="CAE8A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ED9"/>
    <w:multiLevelType w:val="hybridMultilevel"/>
    <w:tmpl w:val="E35C0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1199F"/>
    <w:multiLevelType w:val="multilevel"/>
    <w:tmpl w:val="E35C05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18"/>
    <w:rsid w:val="00004F69"/>
    <w:rsid w:val="000253C1"/>
    <w:rsid w:val="000E00BC"/>
    <w:rsid w:val="0011143E"/>
    <w:rsid w:val="0012428E"/>
    <w:rsid w:val="00136148"/>
    <w:rsid w:val="001B5EBA"/>
    <w:rsid w:val="0024057B"/>
    <w:rsid w:val="0026224A"/>
    <w:rsid w:val="002720E2"/>
    <w:rsid w:val="00303611"/>
    <w:rsid w:val="003C0777"/>
    <w:rsid w:val="003E17B9"/>
    <w:rsid w:val="003E71CA"/>
    <w:rsid w:val="003F2F20"/>
    <w:rsid w:val="00402067"/>
    <w:rsid w:val="0045615A"/>
    <w:rsid w:val="004D79C8"/>
    <w:rsid w:val="004E0497"/>
    <w:rsid w:val="005021B3"/>
    <w:rsid w:val="00536A18"/>
    <w:rsid w:val="00561671"/>
    <w:rsid w:val="00595525"/>
    <w:rsid w:val="005C3CDD"/>
    <w:rsid w:val="006024AC"/>
    <w:rsid w:val="00604089"/>
    <w:rsid w:val="006269AC"/>
    <w:rsid w:val="0067653B"/>
    <w:rsid w:val="00693820"/>
    <w:rsid w:val="006C0387"/>
    <w:rsid w:val="00710155"/>
    <w:rsid w:val="00791F7D"/>
    <w:rsid w:val="007A6D5F"/>
    <w:rsid w:val="007F5AE3"/>
    <w:rsid w:val="0082584A"/>
    <w:rsid w:val="00840C67"/>
    <w:rsid w:val="00843E77"/>
    <w:rsid w:val="008B1C09"/>
    <w:rsid w:val="00942815"/>
    <w:rsid w:val="00980810"/>
    <w:rsid w:val="009918FA"/>
    <w:rsid w:val="00A3740C"/>
    <w:rsid w:val="00A637E7"/>
    <w:rsid w:val="00AD5D16"/>
    <w:rsid w:val="00AF24AE"/>
    <w:rsid w:val="00B01103"/>
    <w:rsid w:val="00B310B0"/>
    <w:rsid w:val="00B70392"/>
    <w:rsid w:val="00B7253A"/>
    <w:rsid w:val="00BA162E"/>
    <w:rsid w:val="00BF18C7"/>
    <w:rsid w:val="00C56937"/>
    <w:rsid w:val="00C67CB2"/>
    <w:rsid w:val="00CC2BC7"/>
    <w:rsid w:val="00DE350E"/>
    <w:rsid w:val="00E1137F"/>
    <w:rsid w:val="00E60B5D"/>
    <w:rsid w:val="00EA15BC"/>
    <w:rsid w:val="00F31C9E"/>
    <w:rsid w:val="00F35064"/>
    <w:rsid w:val="00FA5E4A"/>
    <w:rsid w:val="00FE110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4F86E5"/>
  <w15:chartTrackingRefBased/>
  <w15:docId w15:val="{084B8791-D03F-4E7B-96FA-8A342A0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A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6A1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6A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36A18"/>
    <w:rPr>
      <w:color w:val="0000FF"/>
      <w:u w:val="single"/>
    </w:rPr>
  </w:style>
  <w:style w:type="paragraph" w:styleId="BodyTextIndent">
    <w:name w:val="Body Text Indent"/>
    <w:basedOn w:val="Normal"/>
    <w:rsid w:val="00536A18"/>
    <w:pPr>
      <w:spacing w:before="100" w:beforeAutospacing="1" w:after="100" w:afterAutospacing="1"/>
      <w:ind w:left="360"/>
    </w:pPr>
  </w:style>
  <w:style w:type="paragraph" w:customStyle="1" w:styleId="change">
    <w:name w:val="change"/>
    <w:basedOn w:val="Normal"/>
    <w:rsid w:val="00536A18"/>
    <w:pPr>
      <w:spacing w:before="100" w:beforeAutospacing="1" w:after="100" w:afterAutospacing="1"/>
    </w:pPr>
    <w:rPr>
      <w:color w:val="009933"/>
    </w:rPr>
  </w:style>
  <w:style w:type="character" w:styleId="FollowedHyperlink">
    <w:name w:val="FollowedHyperlink"/>
    <w:rsid w:val="00F35064"/>
    <w:rPr>
      <w:color w:val="800080"/>
      <w:u w:val="single"/>
    </w:rPr>
  </w:style>
  <w:style w:type="table" w:styleId="TableGrid">
    <w:name w:val="Table Grid"/>
    <w:basedOn w:val="TableNormal"/>
    <w:rsid w:val="00DE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350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0"/>
      <w:szCs w:val="20"/>
    </w:rPr>
  </w:style>
  <w:style w:type="paragraph" w:styleId="Footer">
    <w:name w:val="footer"/>
    <w:basedOn w:val="Normal"/>
    <w:rsid w:val="003036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611"/>
  </w:style>
  <w:style w:type="paragraph" w:styleId="BalloonText">
    <w:name w:val="Balloon Text"/>
    <w:basedOn w:val="Normal"/>
    <w:semiHidden/>
    <w:rsid w:val="003F2F20"/>
    <w:rPr>
      <w:rFonts w:ascii="Tahoma" w:hAnsi="Tahoma" w:cs="Tahoma"/>
      <w:sz w:val="16"/>
      <w:szCs w:val="16"/>
    </w:rPr>
  </w:style>
  <w:style w:type="character" w:customStyle="1" w:styleId="contents">
    <w:name w:val="contents"/>
    <w:uiPriority w:val="99"/>
    <w:rsid w:val="007A6D5F"/>
    <w:rPr>
      <w:rFonts w:ascii="Calibri" w:hAnsi="Calibri" w:cs="OceanSansStd-Semibold"/>
      <w:color w:val="002F54"/>
      <w:spacing w:val="10"/>
      <w:w w:val="99"/>
      <w:sz w:val="33"/>
      <w:szCs w:val="33"/>
    </w:rPr>
  </w:style>
  <w:style w:type="paragraph" w:customStyle="1" w:styleId="Default">
    <w:name w:val="Default"/>
    <w:rsid w:val="007A6D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rn.sandia.gov/corpdata/esh-manuals/mn471001/glossary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-irn.sandia.gov/corpdata/esh-manuals/mn471001/glossary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2048</Characters>
  <Application>Microsoft Office Word</Application>
  <DocSecurity>0</DocSecurity>
  <Lines>136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Sandia National Laboratories</Company>
  <LinksUpToDate>false</LinksUpToDate>
  <CharactersWithSpaces>2230</CharactersWithSpaces>
  <SharedDoc>false</SharedDoc>
  <HLinks>
    <vt:vector size="12" baseType="variant">
      <vt:variant>
        <vt:i4>3211318</vt:i4>
      </vt:variant>
      <vt:variant>
        <vt:i4>23</vt:i4>
      </vt:variant>
      <vt:variant>
        <vt:i4>0</vt:i4>
      </vt:variant>
      <vt:variant>
        <vt:i4>5</vt:i4>
      </vt:variant>
      <vt:variant>
        <vt:lpwstr>http://www-irn.sandia.gov/corpdata/esh-manuals/mn471001/glossary.htm</vt:lpwstr>
      </vt:variant>
      <vt:variant>
        <vt:lpwstr>lockout</vt:lpwstr>
      </vt:variant>
      <vt:variant>
        <vt:i4>3342348</vt:i4>
      </vt:variant>
      <vt:variant>
        <vt:i4>4</vt:i4>
      </vt:variant>
      <vt:variant>
        <vt:i4>0</vt:i4>
      </vt:variant>
      <vt:variant>
        <vt:i4>5</vt:i4>
      </vt:variant>
      <vt:variant>
        <vt:lpwstr>http://www-irn.sandia.gov/corpdata/esh-manuals/mn471001/glossary.htm</vt:lpwstr>
      </vt:variant>
      <vt:variant>
        <vt:lpwstr>affected_worker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krsilve</dc:creator>
  <cp:keywords/>
  <dc:description/>
  <cp:lastModifiedBy>Shelton, Wendy</cp:lastModifiedBy>
  <cp:revision>2</cp:revision>
  <dcterms:created xsi:type="dcterms:W3CDTF">2021-03-10T20:47:00Z</dcterms:created>
  <dcterms:modified xsi:type="dcterms:W3CDTF">2021-03-10T20:47:00Z</dcterms:modified>
</cp:coreProperties>
</file>